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39C43">
      <w:pPr>
        <w:pStyle w:val="4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</w:pPr>
      <w:bookmarkStart w:id="0" w:name="_Toc9513"/>
      <w:bookmarkStart w:id="1" w:name="_Toc256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关于2026年陶瓷艺术学院数字建模与3D打印中心设备</w:t>
      </w:r>
      <w:bookmarkStart w:id="5" w:name="_GoBack"/>
      <w:bookmarkEnd w:id="5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采购项目市场调查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函</w:t>
      </w:r>
      <w:bookmarkEnd w:id="0"/>
      <w:bookmarkEnd w:id="1"/>
    </w:p>
    <w:p w14:paraId="15440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根据教学科研需要，需采购扫描仪、 光固化 3D 打印机、 3D 打印机(UV固化喷墨3D打印机)等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设备，现就该项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08415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bookmarkStart w:id="2" w:name="_Toc15548"/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  <w:bookmarkEnd w:id="2"/>
    </w:p>
    <w:p w14:paraId="1AE5E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vertAlign w:val="baseline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Hans"/>
        </w:rPr>
        <w:t>2026年陶瓷艺术学院数字建模与3D打印中心设备采购项目</w:t>
      </w:r>
    </w:p>
    <w:p w14:paraId="2F068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3F6B8C6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国内三维扫描、光固化 3D 打印、UV 全彩喷墨 3D 打印产业持续发展。三维蓝光激光扫描技术广泛用于文物复刻、陶瓷器物逆向建模；DLP 光固化设备用于原型快速制作；UV 固化喷墨全彩 3D 打印可实现一次性彩色实体成型，适配陶瓷艺术教学、文创模型制作。职业院校数字建模、3D 打印实训中心建设需求逐年增加，设备在扫描精度、打印精度、色彩还原、软件兼容性、操作易用性不断迭代升级，可充分满足陶瓷器物扫描逆向建模、原型打印、全彩色陶瓷创意模型制作实训课程。</w:t>
      </w:r>
    </w:p>
    <w:p w14:paraId="039A4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</w:p>
    <w:p w14:paraId="7946D3C7">
      <w:pPr>
        <w:pStyle w:val="8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-9692640</wp:posOffset>
            </wp:positionV>
            <wp:extent cx="7330440" cy="10372090"/>
            <wp:effectExtent l="0" t="0" r="3810" b="10160"/>
            <wp:wrapSquare wrapText="bothSides"/>
            <wp:docPr id="1" name="图片 1" descr="5b033c999fa136d6d0da12788c7503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b033c999fa136d6d0da12788c75035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30440" cy="1037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1713F">
      <w:pPr>
        <w:pStyle w:val="4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3" w:name="_Toc21606"/>
      <w:bookmarkStart w:id="4" w:name="_Toc30509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2026年陶瓷艺术学院数字建模与3D打印中心设备采购项目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采购项目市场调查函</w:t>
      </w:r>
      <w:bookmarkEnd w:id="3"/>
      <w:bookmarkEnd w:id="4"/>
    </w:p>
    <w:p w14:paraId="09E9815C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章）：陶瓷艺术学院</w:t>
      </w:r>
    </w:p>
    <w:p w14:paraId="019D2418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调查函时间：2026年9月30日</w:t>
      </w:r>
    </w:p>
    <w:p w14:paraId="1708289C">
      <w:pPr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  <w:t>联系人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 xml:space="preserve">：甘智远 </w:t>
      </w:r>
    </w:p>
    <w:p w14:paraId="2F4B49D7">
      <w:pPr>
        <w:ind w:firstLine="4800" w:firstLineChars="1500"/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联系电话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13507988157</w:t>
      </w:r>
    </w:p>
    <w:p w14:paraId="385129FC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联系人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刘畅橹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18507985655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</w:t>
      </w:r>
    </w:p>
    <w:tbl>
      <w:tblPr>
        <w:tblStyle w:val="12"/>
        <w:tblW w:w="10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639"/>
        <w:gridCol w:w="688"/>
        <w:gridCol w:w="403"/>
        <w:gridCol w:w="480"/>
        <w:gridCol w:w="975"/>
        <w:gridCol w:w="1104"/>
        <w:gridCol w:w="2619"/>
        <w:gridCol w:w="1830"/>
      </w:tblGrid>
      <w:tr w14:paraId="510D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799" w:type="dxa"/>
            <w:vAlign w:val="center"/>
          </w:tcPr>
          <w:p w14:paraId="3E88F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4C8FA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8738" w:type="dxa"/>
            <w:gridSpan w:val="8"/>
            <w:vAlign w:val="center"/>
          </w:tcPr>
          <w:p w14:paraId="7896A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t>2026年陶瓷艺术学院数字建模与3D打印中心设备采购项目</w:t>
            </w:r>
          </w:p>
        </w:tc>
      </w:tr>
      <w:tr w14:paraId="27BC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799" w:type="dxa"/>
            <w:vMerge w:val="restart"/>
            <w:vAlign w:val="center"/>
          </w:tcPr>
          <w:p w14:paraId="3DE3F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479A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D52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13A6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1890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3F68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F22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报价（单价）万元</w:t>
            </w:r>
          </w:p>
        </w:tc>
        <w:tc>
          <w:tcPr>
            <w:tcW w:w="5553" w:type="dxa"/>
            <w:gridSpan w:val="3"/>
            <w:shd w:val="clear" w:color="auto" w:fill="auto"/>
            <w:vAlign w:val="center"/>
          </w:tcPr>
          <w:p w14:paraId="37A2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</w:tr>
      <w:tr w14:paraId="02B4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2" w:hRule="atLeast"/>
          <w:jc w:val="center"/>
        </w:trPr>
        <w:tc>
          <w:tcPr>
            <w:tcW w:w="1799" w:type="dxa"/>
            <w:vMerge w:val="continue"/>
            <w:vAlign w:val="center"/>
          </w:tcPr>
          <w:p w14:paraId="01A59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3C6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5FE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扫描仪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CA9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18D1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6BA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553" w:type="dxa"/>
            <w:gridSpan w:val="3"/>
            <w:shd w:val="clear" w:color="auto" w:fill="auto"/>
            <w:vAlign w:val="center"/>
          </w:tcPr>
          <w:p w14:paraId="7A2F4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一、高精度三维激光扫描仪套装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1.数据采集方式：蓝色激光线扫描；激光光源形式：22束交叉蓝色激光线、7束平行蓝色激光线以及1束可以单独工作的蓝色激光线，共计30束激光线；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2.结构形式：两个高分辨率的图像采集单元及多个激光发射器，结构简单，稳定，符合人体工程学的手持设计；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3.扫描时，物体及设备均可移动，无需固定，不影响扫描精度；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4.目标点自动定位，不需要额外机械臂，三脚架或其他跟踪设备，扫描自如灵活；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5.设备便携，可随身携带，设备重量不高于0.6公斤，长时间连续工作不易疲劳；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6.为保证设备坚固耐用，扫描仪应采用高强度金属外壳，不得使用塑料外壳；为减少环境粉尘/油污引起的故障率，采用全封闭无风扇设计；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7.设备尺寸不得大205mm×80mm×45mm，可在狭窄的空间扫描，如汽车手套箱等；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 三种工作模式：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（1）二十二束交叉蓝色激光高速扫描模式，能对物体展开快速高效的扫描；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（2）七束平行蓝色激光超精细扫描模式，能对物体表面的细小特征进行精准采集；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（3）单束蓝色激光扫描模式，能对型腔、深孔展开扫描，避免扫描数据出现死角和盲区；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（4）以上工作模式可以通过扫描仪按钮实时切换，无需繁琐操作，且各种模式下的数据均在同一坐标系中，无需后期拼接。"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9.目标点自动定位，不需要额外机械臂，三脚架或其他跟踪设备，扫描自如灵活；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10.扫描最大面幅≥650×550mm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11.设备本身具备指示灯提醒功能，指导用户在正确的角度和位置使用设备；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12.快速标定：软件具备用户快速标定校准功能，熟练时标定时间小于一分钟；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13.扫描速率≥2,020,000次测量/秒；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14.分辨率：具备超高细节展示度，最高分辨率可达0.020mm；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 扫描基准距及景深：扫描基准距≥300mm，扫描景深≥550mm；单幅最大扫描面幅：≥700mm×600mm；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 精度：≤0.020mm；体积精度：≤0.015mm+0.035mm/m，无需借助任何外部设备可达到上述体积精度；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二、扫描软件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1.扫描软件具备指定标记点实现两组扫描文件拼接的功能，拼接后显示每个标记点的拼接误差，可以剔除误差较大的标记点再拼接，从而提高拼接的精度；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2.扫描软件软件需具有主流测量分析软件的接口，在扫描软件内可以实现扫描完成后一键导入点云进行检测比对，以避免输入导入导出有可能出现的数据兼容问题；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3.搭配自动背景适配器，软件可自动识别并建立背景平面，可自动删除背景数据。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4.扫描软件具备智能引导功能，支持用户快速自定义创建工作流程，降低学习难度，提升工作效率，减少人为失误；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5.扫描软件可同时连接多台不同类型设备切换使用，提高使用效率。</w:t>
            </w:r>
          </w:p>
        </w:tc>
      </w:tr>
      <w:tr w14:paraId="2D1FC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799" w:type="dxa"/>
            <w:vMerge w:val="continue"/>
            <w:vAlign w:val="center"/>
          </w:tcPr>
          <w:p w14:paraId="15A87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27A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7A8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光固化3D打印机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6AD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CF1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29B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553" w:type="dxa"/>
            <w:gridSpan w:val="3"/>
            <w:shd w:val="clear" w:color="auto" w:fill="auto"/>
            <w:vAlign w:val="center"/>
          </w:tcPr>
          <w:p w14:paraId="086E6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1.成型尺寸：≥200×112×300mm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2.光源：405nm UV LED 光源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3.XY分辨率：≤2560×1440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4.打印件最大重量≥10kg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5.打印速度： 最高：≥100mm/ h，平均 50-60mm/h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6.层厚范围≤50-200micron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7.带有Magic Layout功能（可轻松调整模型排布及复制模型）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8.切片软件:具备以下功能：抗锯齿；自动生成支撑；自动朝向；自动截面分析；轮廓补偿；倒杯口检测；抽壳；打孔；纹理生成；更小的Gcode尺寸。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9.设备尺寸（宽×长×高）：≤450×408×730mm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10.树脂: 通用白色树脂、高解析杏色树脂、韧性2K灰色树脂、刚性3K灰色树脂、高透树脂、Raise3D快速灰色树脂、通用黑色V1树脂、防静电(ESD)树脂等，支持第三方材料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11.树脂管理:自动续料，树脂液位侦测，树脂确认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12.RFID打印平台:记录所使用树脂的种类，以及打印、清洗、固化设置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13.打印平台调平：出厂预设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14.腔体加热:最高40℃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15.树脂槽：使用高透HTF膜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16.成型原理：数字光处理（DLP）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19.控制面板:触屏（分辨率：1920×720）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20.连接性:Wi-Fi，LAN，USB接口×2，实时摄像头</w:t>
            </w:r>
          </w:p>
        </w:tc>
      </w:tr>
      <w:tr w14:paraId="4329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2" w:hRule="atLeast"/>
          <w:jc w:val="center"/>
        </w:trPr>
        <w:tc>
          <w:tcPr>
            <w:tcW w:w="1799" w:type="dxa"/>
            <w:vMerge w:val="continue"/>
            <w:vAlign w:val="center"/>
          </w:tcPr>
          <w:p w14:paraId="37F16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EDC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636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3D打印机(UV固化喷墨3D打印机)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BE3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369F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B13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553" w:type="dxa"/>
            <w:gridSpan w:val="3"/>
            <w:shd w:val="clear" w:color="auto" w:fill="auto"/>
            <w:vAlign w:val="center"/>
          </w:tcPr>
          <w:p w14:paraId="23DE1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1、打印机使用UV固化墨水，可在紫外线照射下固化。 C/M/Y/K/W/Cl/Sp 墨滴经过精细划分并层层堆积，实现超过1,000万种色彩的精美全彩表达，并注重复杂形状和细节呈现，实现精巧的塑形;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2、注重复杂形状和细节表现的精巧塑形,墨水控制技术的精细表达,水溶性支撑材展现复杂造型;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3、打印机本体与支架上下分体式结构，适合电梯搬运及办公环境使用的机身尺寸；同时并配置超声波清洗机。3D打印机本体尺寸不超过1400mm*1300mm*860mm，并且重量不超过150KG；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4、直观的操作软件，排版软件「3D Link」 及打印机驱动软件「Printer Driver」，可通过一个界面的简单操作完成塑形作业，并将其输送到打印机驱动上；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完全支持水溶性支撑材料。塑形过程中必需的支撑材料，采用水溶性的支撑材料墨水。通过浸入水中，即可以去除支撑材料且无需特意刮掉，能够在不损坏塑形物的情况下展现以下复杂形状的设计，精巧的设计可以轻松移除支撑材料而不会损坏造型物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6、可长时间内确认塑形情况的便利功能「通知邮件」&amp;「相机对话框」；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7、适合办公室及教学环境下使用,紧凑设计，打印尺寸不低于200 x 200 x 75 mm (含支撑材)；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8、搭载喷嘴检测功能实现稳定运行，自动维护功能下的不停机打印，喷嘴检测系统自动检测喷嘴状态，一旦发现喷嘴断线将自动执行清洗。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9、搭载墨水循环系统，针对白墨，在墨栈和墨水路径中安装了循环装置。 使白墨定期循环，防止因墨水颜料沉淀而引起的喷嘴故障，保障稳定的打印状态。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10、搭配高性能电脑，配置不低于I7-13650, 64G内存及以上，RTX4060及以上，硬盘2T及以上。</w:t>
            </w:r>
          </w:p>
        </w:tc>
      </w:tr>
      <w:tr w14:paraId="25B6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799" w:type="dxa"/>
            <w:vAlign w:val="center"/>
          </w:tcPr>
          <w:p w14:paraId="52B2E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55AA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738" w:type="dxa"/>
            <w:gridSpan w:val="8"/>
            <w:vAlign w:val="bottom"/>
          </w:tcPr>
          <w:p w14:paraId="61A57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联系人姓名及联系方式：</w:t>
            </w:r>
          </w:p>
        </w:tc>
      </w:tr>
      <w:tr w14:paraId="58BD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799" w:type="dxa"/>
            <w:vAlign w:val="center"/>
          </w:tcPr>
          <w:p w14:paraId="5DAAF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响应情况（在对应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✔）</w:t>
            </w:r>
          </w:p>
        </w:tc>
        <w:tc>
          <w:tcPr>
            <w:tcW w:w="8738" w:type="dxa"/>
            <w:gridSpan w:val="8"/>
            <w:vAlign w:val="center"/>
          </w:tcPr>
          <w:p w14:paraId="58E31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完全响应，响应的品牌：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型号规格：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</w:p>
          <w:p w14:paraId="0CD36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不能完全响应，不能完全响应的有哪些？具体以附件形式说明。</w:t>
            </w:r>
          </w:p>
        </w:tc>
      </w:tr>
      <w:tr w14:paraId="6328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799" w:type="dxa"/>
            <w:vAlign w:val="center"/>
          </w:tcPr>
          <w:p w14:paraId="2B7D0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738" w:type="dxa"/>
            <w:gridSpan w:val="8"/>
            <w:vAlign w:val="center"/>
          </w:tcPr>
          <w:p w14:paraId="2D815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5133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799" w:type="dxa"/>
            <w:vAlign w:val="center"/>
          </w:tcPr>
          <w:p w14:paraId="4E2E0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289" w:type="dxa"/>
            <w:gridSpan w:val="6"/>
            <w:vAlign w:val="center"/>
          </w:tcPr>
          <w:p w14:paraId="0FE84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2619" w:type="dxa"/>
            <w:vAlign w:val="center"/>
          </w:tcPr>
          <w:p w14:paraId="0B3E2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830" w:type="dxa"/>
            <w:vAlign w:val="center"/>
          </w:tcPr>
          <w:p w14:paraId="066AF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999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1799" w:type="dxa"/>
          </w:tcPr>
          <w:p w14:paraId="2E712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738" w:type="dxa"/>
            <w:gridSpan w:val="8"/>
          </w:tcPr>
          <w:p w14:paraId="0C67E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29C82111">
      <w:pPr>
        <w:keepNext w:val="0"/>
        <w:keepLines w:val="0"/>
        <w:pageBreakBefore w:val="0"/>
        <w:widowControl w:val="0"/>
        <w:tabs>
          <w:tab w:val="left" w:pos="73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jc w:val="both"/>
        <w:textAlignment w:val="auto"/>
        <w:rPr>
          <w:rFonts w:hint="default"/>
          <w:sz w:val="28"/>
          <w:szCs w:val="28"/>
          <w:lang w:val="en-US" w:eastAsia="zh-CN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C1AAC20">
      <w:pPr>
        <w:tabs>
          <w:tab w:val="left" w:pos="2353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8E66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BE76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BE765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45E0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29BA8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29BA8E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D687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94E180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94E180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A8BFD">
    <w:pPr>
      <w:pStyle w:val="7"/>
      <w:rPr>
        <w:rFonts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320DE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spacing w:line="30" w:lineRule="exact"/>
      <w:textAlignment w:val="auto"/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EE268A"/>
    <w:rsid w:val="37C41886"/>
    <w:rsid w:val="38F83567"/>
    <w:rsid w:val="3A4A3F03"/>
    <w:rsid w:val="5F6E7481"/>
    <w:rsid w:val="70445A47"/>
    <w:rsid w:val="76432944"/>
    <w:rsid w:val="7647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3"/>
    <w:next w:val="1"/>
    <w:qFormat/>
    <w:uiPriority w:val="39"/>
    <w:pPr>
      <w:spacing w:before="360"/>
      <w:jc w:val="left"/>
    </w:pPr>
    <w:rPr>
      <w:rFonts w:ascii="Cambria" w:hAnsi="Cambria" w:eastAsia="宋体" w:cs="Times New Roman"/>
      <w:b/>
      <w:bCs/>
      <w:caps/>
      <w:sz w:val="24"/>
    </w:rPr>
  </w:style>
  <w:style w:type="paragraph" w:styleId="3">
    <w:name w:val="index 1"/>
    <w:basedOn w:val="1"/>
    <w:next w:val="1"/>
    <w:qFormat/>
    <w:uiPriority w:val="0"/>
    <w:pPr>
      <w:outlineLvl w:val="1"/>
    </w:pPr>
    <w:rPr>
      <w:rFonts w:ascii="Times New Roman" w:hAnsi="Times New Roman"/>
      <w:color w:val="000000"/>
    </w:rPr>
  </w:style>
  <w:style w:type="paragraph" w:styleId="5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2727</Words>
  <Characters>3109</Characters>
  <Lines>0</Lines>
  <Paragraphs>0</Paragraphs>
  <TotalTime>11</TotalTime>
  <ScaleCrop>false</ScaleCrop>
  <LinksUpToDate>false</LinksUpToDate>
  <CharactersWithSpaces>3216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2026-09-30T01:46:00Z</dcterms:created>
  <dc:creator>Administrator</dc:creator>
  <cp:lastModifiedBy>刘畅橹</cp:lastModifiedBy>
  <cp:lastPrinted>2026-09-30T08:06:00Z</cp:lastPrinted>
  <dcterms:modified xsi:type="dcterms:W3CDTF">2026-09-30T08:43:05Z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eyJoZGlkIjoiYjk0MGE2OTU4OTRiN2U2MWI1YzQzZDY2YTMyNWQzYzEiLCJ1c2VySWQiOiIxODE4MDMwNjUyIn0=</vt:lpwstr>
  </property>
  <property fmtid="{D5CDD505-2E9C-101B-9397-08002B2CF9AE}" pid="4" name="ICV">
    <vt:lpwstr>9695A26CDF4F4C868321BEF4656870C4_12</vt:lpwstr>
  </property>
</Properties>
</file>